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 анализ реализации  концессионных соглашений на территории Верховажского муниципального округа.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технические задания на разработку инвестиционных программ органом местного самоуправления не утверждены, что не позволяет разработать инвестиционные программы.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устранения нарушений в адрес руководителя органа местного самоуправления 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>, результаты рассмотрения которого находятся на контроле</w:t>
      </w:r>
      <w:r>
        <w:rPr>
          <w:rFonts w:ascii="Times New Roman" w:hAnsi="Times New Roman"/>
          <w:color w:val="000000"/>
          <w:sz w:val="28"/>
        </w:rPr>
        <w:t>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spacing w:line="256" w:lineRule="auto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No Spacing"/>
    <w:link w:val="Style_13"/>
    <w:rPr>
      <w:rFonts w:ascii="Arial" w:hAnsi="Arial"/>
      <w:sz w:val="20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2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ody Text"/>
    <w:basedOn w:val="Style_2"/>
    <w:link w:val="Style_21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1_ch" w:type="character">
    <w:name w:val="Body Text"/>
    <w:basedOn w:val="Style_2_ch"/>
    <w:link w:val="Style_21"/>
    <w:rPr>
      <w:rFonts w:ascii="Times New Roman" w:hAnsi="Times New Roman"/>
      <w:sz w:val="24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2026-05-07T05:40:43Z</dcterms:modified>
</cp:coreProperties>
</file>